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A7C" w:rsidRDefault="007B4723">
      <w:r>
        <w:t xml:space="preserve">                                                                            </w:t>
      </w:r>
    </w:p>
    <w:p w:rsidR="00645A7C" w:rsidRPr="00645A7C" w:rsidRDefault="00645A7C" w:rsidP="00645A7C">
      <w:pPr>
        <w:pStyle w:val="NoSpacing"/>
        <w:jc w:val="center"/>
        <w:rPr>
          <w:rStyle w:val="Strong"/>
          <w:sz w:val="24"/>
          <w:szCs w:val="24"/>
        </w:rPr>
      </w:pPr>
      <w:r w:rsidRPr="00645A7C">
        <w:rPr>
          <w:rStyle w:val="Strong"/>
          <w:sz w:val="24"/>
          <w:szCs w:val="24"/>
        </w:rPr>
        <w:t>Bulletin to WDT Assessors – April 20, 2009</w:t>
      </w:r>
    </w:p>
    <w:p w:rsidR="00645A7C" w:rsidRDefault="00645A7C" w:rsidP="00645A7C">
      <w:pPr>
        <w:pStyle w:val="NoSpacing"/>
        <w:jc w:val="center"/>
        <w:rPr>
          <w:rStyle w:val="Strong"/>
          <w:sz w:val="24"/>
          <w:szCs w:val="24"/>
        </w:rPr>
      </w:pPr>
      <w:r w:rsidRPr="00645A7C">
        <w:rPr>
          <w:rStyle w:val="Strong"/>
          <w:sz w:val="24"/>
          <w:szCs w:val="24"/>
        </w:rPr>
        <w:t>Wildfire Manual Updated</w:t>
      </w:r>
    </w:p>
    <w:p w:rsidR="00645A7C" w:rsidRDefault="00645A7C" w:rsidP="00645A7C">
      <w:pPr>
        <w:pStyle w:val="NoSpacing"/>
        <w:jc w:val="center"/>
        <w:rPr>
          <w:rStyle w:val="Strong"/>
          <w:sz w:val="24"/>
          <w:szCs w:val="24"/>
        </w:rPr>
      </w:pPr>
    </w:p>
    <w:p w:rsidR="00645A7C" w:rsidRDefault="00645A7C" w:rsidP="00136D19">
      <w:pPr>
        <w:pStyle w:val="NoSpacing"/>
        <w:rPr>
          <w:rStyle w:val="Strong"/>
          <w:sz w:val="24"/>
          <w:szCs w:val="24"/>
        </w:rPr>
      </w:pPr>
      <w:r>
        <w:rPr>
          <w:rStyle w:val="Strong"/>
          <w:sz w:val="24"/>
          <w:szCs w:val="24"/>
        </w:rPr>
        <w:t xml:space="preserve">This bulletin summarizes the updates made to the Wildfire module by the Wildlife Tree Committee (WTC) in 2009. The updates are minor and provide better clarity and consistency </w:t>
      </w:r>
      <w:r w:rsidR="00FB6DAB">
        <w:rPr>
          <w:rStyle w:val="Strong"/>
          <w:sz w:val="24"/>
          <w:szCs w:val="24"/>
        </w:rPr>
        <w:t>across the three WDTAC modules</w:t>
      </w:r>
      <w:r w:rsidR="00136D19">
        <w:rPr>
          <w:rStyle w:val="Strong"/>
          <w:sz w:val="24"/>
          <w:szCs w:val="24"/>
        </w:rPr>
        <w:t>.</w:t>
      </w:r>
    </w:p>
    <w:p w:rsidR="00136D19" w:rsidRDefault="00136D19" w:rsidP="00136D19">
      <w:pPr>
        <w:pStyle w:val="NoSpacing"/>
        <w:rPr>
          <w:rStyle w:val="Strong"/>
          <w:sz w:val="24"/>
          <w:szCs w:val="24"/>
        </w:rPr>
      </w:pPr>
    </w:p>
    <w:p w:rsidR="00136D19" w:rsidRDefault="00136D19" w:rsidP="00136D19">
      <w:pPr>
        <w:pStyle w:val="NoSpacing"/>
        <w:rPr>
          <w:rStyle w:val="Strong"/>
          <w:color w:val="4F81BD" w:themeColor="accent1"/>
          <w:sz w:val="24"/>
          <w:szCs w:val="24"/>
        </w:rPr>
      </w:pPr>
      <w:r>
        <w:rPr>
          <w:rStyle w:val="Strong"/>
          <w:sz w:val="24"/>
          <w:szCs w:val="24"/>
        </w:rPr>
        <w:t xml:space="preserve">Wildlife/Danger Tree (WDT) Assessors should review the revised course manuals and field cards as posted on the WTC website </w:t>
      </w:r>
      <w:hyperlink r:id="rId8" w:history="1">
        <w:r w:rsidRPr="00310FD2">
          <w:rPr>
            <w:rStyle w:val="Hyperlink"/>
            <w:sz w:val="24"/>
            <w:szCs w:val="24"/>
          </w:rPr>
          <w:t>http://www.for.gov.bc.ca/hfp/values/wildlife/WLT/Training/index.htm</w:t>
        </w:r>
      </w:hyperlink>
    </w:p>
    <w:p w:rsidR="00136D19" w:rsidRDefault="00136D19" w:rsidP="00136D19">
      <w:pPr>
        <w:pStyle w:val="NoSpacing"/>
        <w:rPr>
          <w:rStyle w:val="Strong"/>
          <w:color w:val="4F81BD" w:themeColor="accent1"/>
          <w:sz w:val="24"/>
          <w:szCs w:val="24"/>
        </w:rPr>
      </w:pPr>
    </w:p>
    <w:p w:rsidR="00DC650A" w:rsidRPr="00DC650A" w:rsidRDefault="00EC45CF" w:rsidP="00DC650A">
      <w:pPr>
        <w:rPr>
          <w:rStyle w:val="Strong"/>
          <w:rFonts w:asciiTheme="majorHAnsi" w:hAnsiTheme="majorHAnsi"/>
          <w:b w:val="0"/>
          <w:sz w:val="24"/>
          <w:szCs w:val="24"/>
        </w:rPr>
      </w:pPr>
      <w:r w:rsidRPr="00D85238">
        <w:rPr>
          <w:rStyle w:val="Strong"/>
          <w:rFonts w:asciiTheme="majorHAnsi" w:hAnsiTheme="majorHAnsi"/>
          <w:sz w:val="24"/>
          <w:szCs w:val="24"/>
        </w:rPr>
        <w:t>1)</w:t>
      </w:r>
      <w:r>
        <w:rPr>
          <w:rStyle w:val="Strong"/>
          <w:rFonts w:asciiTheme="majorHAnsi" w:hAnsiTheme="majorHAnsi"/>
          <w:b w:val="0"/>
          <w:sz w:val="24"/>
          <w:szCs w:val="24"/>
        </w:rPr>
        <w:t xml:space="preserve"> </w:t>
      </w:r>
      <w:r w:rsidR="00136D19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To provide consistency </w:t>
      </w:r>
      <w:r w:rsidR="00DC650A">
        <w:rPr>
          <w:rStyle w:val="Strong"/>
          <w:rFonts w:asciiTheme="majorHAnsi" w:hAnsiTheme="majorHAnsi"/>
          <w:b w:val="0"/>
          <w:sz w:val="24"/>
          <w:szCs w:val="24"/>
        </w:rPr>
        <w:t>across</w:t>
      </w:r>
      <w:r w:rsidR="00136D19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 the</w:t>
      </w:r>
      <w:r w:rsidR="00DC650A">
        <w:rPr>
          <w:rStyle w:val="Strong"/>
          <w:rFonts w:asciiTheme="majorHAnsi" w:hAnsiTheme="majorHAnsi"/>
          <w:b w:val="0"/>
          <w:sz w:val="24"/>
          <w:szCs w:val="24"/>
        </w:rPr>
        <w:t xml:space="preserve"> three</w:t>
      </w:r>
      <w:r w:rsidR="00136D19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 </w:t>
      </w:r>
      <w:r w:rsidR="00DC650A">
        <w:rPr>
          <w:rStyle w:val="Strong"/>
          <w:rFonts w:asciiTheme="majorHAnsi" w:hAnsiTheme="majorHAnsi"/>
          <w:b w:val="0"/>
          <w:sz w:val="24"/>
          <w:szCs w:val="24"/>
        </w:rPr>
        <w:t>WDTAC</w:t>
      </w:r>
      <w:r w:rsidR="00136D19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 modules, the course background along with the goals and objectives were added.</w:t>
      </w:r>
    </w:p>
    <w:p w:rsidR="00DC650A" w:rsidRPr="00DC650A" w:rsidRDefault="00EC45CF" w:rsidP="00DC650A">
      <w:pPr>
        <w:rPr>
          <w:rStyle w:val="Strong"/>
          <w:rFonts w:asciiTheme="majorHAnsi" w:hAnsiTheme="majorHAnsi"/>
          <w:b w:val="0"/>
          <w:sz w:val="24"/>
          <w:szCs w:val="24"/>
        </w:rPr>
      </w:pPr>
      <w:r w:rsidRPr="00D85238">
        <w:rPr>
          <w:rStyle w:val="Strong"/>
          <w:rFonts w:asciiTheme="majorHAnsi" w:hAnsiTheme="majorHAnsi"/>
          <w:sz w:val="24"/>
          <w:szCs w:val="24"/>
        </w:rPr>
        <w:t>2)</w:t>
      </w:r>
      <w:r>
        <w:rPr>
          <w:rStyle w:val="Strong"/>
          <w:rFonts w:asciiTheme="majorHAnsi" w:hAnsiTheme="majorHAnsi"/>
          <w:b w:val="0"/>
          <w:sz w:val="24"/>
          <w:szCs w:val="24"/>
        </w:rPr>
        <w:t xml:space="preserve"> </w:t>
      </w:r>
      <w:r w:rsidR="00136D19" w:rsidRPr="00DC650A">
        <w:rPr>
          <w:rStyle w:val="Strong"/>
          <w:rFonts w:asciiTheme="majorHAnsi" w:hAnsiTheme="majorHAnsi"/>
          <w:b w:val="0"/>
          <w:sz w:val="24"/>
          <w:szCs w:val="24"/>
        </w:rPr>
        <w:t>Wildlife Tree Classification: a more in-depth description has been added.</w:t>
      </w:r>
    </w:p>
    <w:p w:rsidR="00DC650A" w:rsidRPr="00DC650A" w:rsidRDefault="00EC45CF" w:rsidP="00DC650A">
      <w:r w:rsidRPr="00D85238">
        <w:rPr>
          <w:rStyle w:val="Strong"/>
          <w:rFonts w:asciiTheme="majorHAnsi" w:hAnsiTheme="majorHAnsi"/>
          <w:sz w:val="24"/>
          <w:szCs w:val="24"/>
        </w:rPr>
        <w:t>3)</w:t>
      </w:r>
      <w:r>
        <w:rPr>
          <w:rStyle w:val="Strong"/>
          <w:rFonts w:asciiTheme="majorHAnsi" w:hAnsiTheme="majorHAnsi"/>
          <w:b w:val="0"/>
          <w:sz w:val="24"/>
          <w:szCs w:val="24"/>
        </w:rPr>
        <w:t xml:space="preserve"> </w:t>
      </w:r>
      <w:r w:rsidR="00136D19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Wildlife Trees and the process of tree death and decay: to provide wildfire assessors with </w:t>
      </w:r>
      <w:r w:rsidR="00736521" w:rsidRPr="00DC650A">
        <w:rPr>
          <w:rStyle w:val="Strong"/>
          <w:rFonts w:asciiTheme="majorHAnsi" w:hAnsiTheme="majorHAnsi"/>
          <w:b w:val="0"/>
          <w:sz w:val="24"/>
          <w:szCs w:val="24"/>
        </w:rPr>
        <w:t>more reference material this section was added.</w:t>
      </w:r>
    </w:p>
    <w:p w:rsidR="00DC650A" w:rsidRDefault="00EC45CF" w:rsidP="00DC650A">
      <w:pPr>
        <w:rPr>
          <w:rStyle w:val="Strong"/>
          <w:rFonts w:asciiTheme="majorHAnsi" w:hAnsiTheme="majorHAnsi"/>
          <w:b w:val="0"/>
          <w:sz w:val="24"/>
          <w:szCs w:val="24"/>
        </w:rPr>
      </w:pPr>
      <w:r w:rsidRPr="00D85238">
        <w:rPr>
          <w:rStyle w:val="Strong"/>
          <w:rFonts w:asciiTheme="majorHAnsi" w:hAnsiTheme="majorHAnsi"/>
          <w:sz w:val="24"/>
          <w:szCs w:val="24"/>
        </w:rPr>
        <w:t>4)</w:t>
      </w:r>
      <w:r>
        <w:rPr>
          <w:rStyle w:val="Strong"/>
          <w:rFonts w:asciiTheme="majorHAnsi" w:hAnsiTheme="majorHAnsi"/>
          <w:b w:val="0"/>
          <w:sz w:val="24"/>
          <w:szCs w:val="24"/>
        </w:rPr>
        <w:t xml:space="preserve"> </w:t>
      </w:r>
      <w:r w:rsidR="007F3796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References made to road usage in </w:t>
      </w:r>
      <w:r w:rsidR="007F3796" w:rsidRPr="00DC650A">
        <w:rPr>
          <w:rStyle w:val="Strong"/>
          <w:rFonts w:asciiTheme="majorHAnsi" w:hAnsiTheme="majorHAnsi"/>
          <w:sz w:val="24"/>
          <w:szCs w:val="24"/>
        </w:rPr>
        <w:t xml:space="preserve">Table 2 (Determining LOD) </w:t>
      </w:r>
      <w:r w:rsidR="007F3796" w:rsidRPr="00DC650A">
        <w:rPr>
          <w:rStyle w:val="Strong"/>
          <w:rFonts w:asciiTheme="majorHAnsi" w:hAnsiTheme="majorHAnsi"/>
          <w:b w:val="0"/>
          <w:sz w:val="24"/>
          <w:szCs w:val="24"/>
        </w:rPr>
        <w:t>were corrected. Road travel by heavy equipment is LOD-1 if the road is permanent and has a cleared Right-of-Way (ROW), while travel on temporary roads or roads without ROW clearance is LOD 2/3</w:t>
      </w:r>
    </w:p>
    <w:p w:rsidR="00DC650A" w:rsidRPr="00DC650A" w:rsidRDefault="00EC45CF" w:rsidP="00DC650A">
      <w:pPr>
        <w:rPr>
          <w:rStyle w:val="Strong"/>
          <w:rFonts w:asciiTheme="majorHAnsi" w:hAnsiTheme="majorHAnsi"/>
          <w:b w:val="0"/>
          <w:sz w:val="24"/>
          <w:szCs w:val="24"/>
        </w:rPr>
      </w:pPr>
      <w:r w:rsidRPr="00D85238">
        <w:rPr>
          <w:rStyle w:val="Strong"/>
          <w:rFonts w:asciiTheme="majorHAnsi" w:hAnsiTheme="majorHAnsi"/>
          <w:sz w:val="24"/>
          <w:szCs w:val="24"/>
        </w:rPr>
        <w:t>5)</w:t>
      </w:r>
      <w:r>
        <w:rPr>
          <w:rStyle w:val="Strong"/>
          <w:rFonts w:asciiTheme="majorHAnsi" w:hAnsiTheme="majorHAnsi"/>
          <w:b w:val="0"/>
          <w:sz w:val="24"/>
          <w:szCs w:val="24"/>
        </w:rPr>
        <w:t xml:space="preserve"> </w:t>
      </w:r>
      <w:r w:rsidR="00746155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Following the WTC bulletin </w:t>
      </w:r>
      <w:r w:rsidR="00746155" w:rsidRPr="00DC650A">
        <w:rPr>
          <w:rStyle w:val="Strong"/>
          <w:rFonts w:asciiTheme="majorHAnsi" w:hAnsiTheme="majorHAnsi"/>
          <w:sz w:val="24"/>
          <w:szCs w:val="24"/>
        </w:rPr>
        <w:t>“Significant Hazard Indicators for LOD-1” July 2008</w:t>
      </w:r>
      <w:r w:rsidR="00746155" w:rsidRPr="00DC650A">
        <w:rPr>
          <w:rStyle w:val="Strong"/>
          <w:rFonts w:asciiTheme="majorHAnsi" w:hAnsiTheme="majorHAnsi"/>
          <w:b w:val="0"/>
          <w:sz w:val="24"/>
          <w:szCs w:val="24"/>
        </w:rPr>
        <w:t>, the s</w:t>
      </w:r>
      <w:r w:rsidR="0086367E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ignificant hazard indicators for the LOD 1 decadence criteria </w:t>
      </w:r>
      <w:r w:rsidR="0086367E" w:rsidRPr="00DC650A">
        <w:rPr>
          <w:rStyle w:val="Strong"/>
          <w:rFonts w:asciiTheme="majorHAnsi" w:hAnsiTheme="majorHAnsi"/>
          <w:sz w:val="24"/>
          <w:szCs w:val="24"/>
        </w:rPr>
        <w:t xml:space="preserve">(Table 3) </w:t>
      </w:r>
      <w:r w:rsidR="00340896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was </w:t>
      </w:r>
      <w:r w:rsidR="0086367E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updated to utilize the tree classifications for deciduous </w:t>
      </w:r>
      <w:r w:rsidR="00340896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trees and to list soft snags as an example of a decadent stem (regardless of the absence of heart rot conks). Assessors must recognize that soft </w:t>
      </w:r>
      <w:r w:rsidR="00746155" w:rsidRPr="00DC650A">
        <w:rPr>
          <w:rStyle w:val="Strong"/>
          <w:rFonts w:asciiTheme="majorHAnsi" w:hAnsiTheme="majorHAnsi"/>
          <w:b w:val="0"/>
          <w:sz w:val="24"/>
          <w:szCs w:val="24"/>
        </w:rPr>
        <w:t>snags (</w:t>
      </w:r>
      <w:r w:rsidR="00340896" w:rsidRPr="00DC650A">
        <w:rPr>
          <w:rStyle w:val="Strong"/>
          <w:rFonts w:asciiTheme="majorHAnsi" w:hAnsiTheme="majorHAnsi"/>
          <w:b w:val="0"/>
          <w:sz w:val="24"/>
          <w:szCs w:val="24"/>
        </w:rPr>
        <w:t>class 7-8 conifers and class 5 deciduous) may not have</w:t>
      </w:r>
      <w:r w:rsidR="00746155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 any heart rot conks present but</w:t>
      </w:r>
      <w:r w:rsidR="00340896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 are unstable by default.</w:t>
      </w:r>
    </w:p>
    <w:p w:rsidR="00340896" w:rsidRDefault="00EC45CF" w:rsidP="00DC650A">
      <w:pPr>
        <w:rPr>
          <w:rStyle w:val="Strong"/>
          <w:rFonts w:asciiTheme="majorHAnsi" w:hAnsiTheme="majorHAnsi"/>
          <w:b w:val="0"/>
          <w:sz w:val="24"/>
          <w:szCs w:val="24"/>
        </w:rPr>
      </w:pPr>
      <w:r w:rsidRPr="00D85238">
        <w:rPr>
          <w:rStyle w:val="Strong"/>
          <w:rFonts w:asciiTheme="majorHAnsi" w:hAnsiTheme="majorHAnsi"/>
          <w:sz w:val="24"/>
          <w:szCs w:val="24"/>
        </w:rPr>
        <w:t>6)</w:t>
      </w:r>
      <w:r>
        <w:rPr>
          <w:rStyle w:val="Strong"/>
          <w:rFonts w:asciiTheme="majorHAnsi" w:hAnsiTheme="majorHAnsi"/>
          <w:b w:val="0"/>
          <w:sz w:val="24"/>
          <w:szCs w:val="24"/>
        </w:rPr>
        <w:t xml:space="preserve"> </w:t>
      </w:r>
      <w:r w:rsidR="00340896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To follow the guidance from the WTC bulletin </w:t>
      </w:r>
      <w:r w:rsidR="00340896" w:rsidRPr="00DC650A">
        <w:rPr>
          <w:rStyle w:val="Strong"/>
          <w:rFonts w:asciiTheme="majorHAnsi" w:hAnsiTheme="majorHAnsi"/>
          <w:sz w:val="24"/>
          <w:szCs w:val="24"/>
        </w:rPr>
        <w:t>“Hazardous Top Defect”</w:t>
      </w:r>
      <w:r w:rsidR="00746155" w:rsidRPr="00DC650A">
        <w:rPr>
          <w:rStyle w:val="Strong"/>
          <w:rFonts w:asciiTheme="majorHAnsi" w:hAnsiTheme="majorHAnsi"/>
          <w:sz w:val="24"/>
          <w:szCs w:val="24"/>
        </w:rPr>
        <w:t xml:space="preserve"> </w:t>
      </w:r>
      <w:r w:rsidR="00340896" w:rsidRPr="00DC650A">
        <w:rPr>
          <w:rStyle w:val="Strong"/>
          <w:rFonts w:asciiTheme="majorHAnsi" w:hAnsiTheme="majorHAnsi"/>
          <w:sz w:val="24"/>
          <w:szCs w:val="24"/>
        </w:rPr>
        <w:t>July 7, 2008</w:t>
      </w:r>
      <w:r w:rsidR="00340896" w:rsidRPr="00DC650A">
        <w:rPr>
          <w:rStyle w:val="Strong"/>
          <w:rFonts w:asciiTheme="majorHAnsi" w:hAnsiTheme="majorHAnsi"/>
          <w:b w:val="0"/>
          <w:sz w:val="24"/>
          <w:szCs w:val="24"/>
        </w:rPr>
        <w:t xml:space="preserve">, the defect descriptor for “Hazardous Top” (HT) has been revised by expanding the term to include all forms of defective tops. Secondary tops are regarded as an </w:t>
      </w:r>
      <w:r w:rsidR="00340896" w:rsidRPr="00DC650A">
        <w:rPr>
          <w:rStyle w:val="Strong"/>
          <w:rFonts w:asciiTheme="majorHAnsi" w:hAnsiTheme="majorHAnsi"/>
          <w:i/>
          <w:sz w:val="24"/>
          <w:szCs w:val="24"/>
        </w:rPr>
        <w:t xml:space="preserve">example </w:t>
      </w:r>
      <w:r w:rsidR="00340896" w:rsidRPr="00DC650A">
        <w:rPr>
          <w:rStyle w:val="Strong"/>
          <w:rFonts w:asciiTheme="majorHAnsi" w:hAnsiTheme="majorHAnsi"/>
          <w:b w:val="0"/>
          <w:sz w:val="24"/>
          <w:szCs w:val="24"/>
        </w:rPr>
        <w:t>of a defe</w:t>
      </w:r>
      <w:r w:rsidR="00746155" w:rsidRPr="00DC650A">
        <w:rPr>
          <w:rStyle w:val="Strong"/>
          <w:rFonts w:asciiTheme="majorHAnsi" w:hAnsiTheme="majorHAnsi"/>
          <w:b w:val="0"/>
          <w:sz w:val="24"/>
          <w:szCs w:val="24"/>
        </w:rPr>
        <w:t>ctive top and Tables 3A and 3B are revised accordingly. The glossary was expanded with a definition for hazardous top and the term secondary top was amended.</w:t>
      </w:r>
    </w:p>
    <w:p w:rsidR="00DC650A" w:rsidRDefault="00DC650A" w:rsidP="00DC650A">
      <w:pPr>
        <w:rPr>
          <w:rStyle w:val="Strong"/>
          <w:rFonts w:asciiTheme="majorHAnsi" w:hAnsiTheme="majorHAnsi"/>
          <w:b w:val="0"/>
          <w:sz w:val="24"/>
          <w:szCs w:val="24"/>
        </w:rPr>
      </w:pPr>
    </w:p>
    <w:p w:rsidR="00FB6DAB" w:rsidRDefault="00FB6DAB" w:rsidP="00DC650A">
      <w:pPr>
        <w:rPr>
          <w:rStyle w:val="Strong"/>
          <w:rFonts w:asciiTheme="majorHAnsi" w:hAnsiTheme="majorHAnsi"/>
          <w:b w:val="0"/>
          <w:sz w:val="24"/>
          <w:szCs w:val="24"/>
        </w:rPr>
      </w:pPr>
    </w:p>
    <w:p w:rsidR="00DC650A" w:rsidRPr="00DC650A" w:rsidRDefault="00EC45CF" w:rsidP="00DC650A">
      <w:pPr>
        <w:rPr>
          <w:rStyle w:val="Strong"/>
          <w:rFonts w:asciiTheme="majorHAnsi" w:hAnsiTheme="majorHAnsi"/>
          <w:b w:val="0"/>
          <w:sz w:val="24"/>
          <w:szCs w:val="24"/>
        </w:rPr>
      </w:pPr>
      <w:r w:rsidRPr="00D85238">
        <w:rPr>
          <w:rStyle w:val="Strong"/>
          <w:rFonts w:asciiTheme="majorHAnsi" w:hAnsiTheme="majorHAnsi"/>
          <w:sz w:val="24"/>
          <w:szCs w:val="24"/>
        </w:rPr>
        <w:t>7)</w:t>
      </w:r>
      <w:r>
        <w:rPr>
          <w:rStyle w:val="Strong"/>
          <w:rFonts w:asciiTheme="majorHAnsi" w:hAnsiTheme="majorHAnsi"/>
          <w:b w:val="0"/>
          <w:sz w:val="24"/>
          <w:szCs w:val="24"/>
        </w:rPr>
        <w:t xml:space="preserve"> </w:t>
      </w:r>
      <w:r w:rsidR="00DC650A" w:rsidRPr="00DC650A">
        <w:rPr>
          <w:rStyle w:val="Strong"/>
          <w:rFonts w:asciiTheme="majorHAnsi" w:hAnsiTheme="majorHAnsi"/>
          <w:b w:val="0"/>
          <w:sz w:val="24"/>
          <w:szCs w:val="24"/>
        </w:rPr>
        <w:t>The presence of a cavity nest indicates the presence of decay and internal stem weakness and should be considered as STEM DAMAGE and subsequently rated as Dangerous for LOD 2, 3 and 4 unless other information is available. Assessors will record their presence as a form of “Stem Damage” (SD).</w:t>
      </w:r>
    </w:p>
    <w:p w:rsidR="00DC650A" w:rsidRPr="00DC650A" w:rsidRDefault="00EC45CF" w:rsidP="00DC650A">
      <w:pPr>
        <w:rPr>
          <w:rStyle w:val="Strong"/>
          <w:rFonts w:asciiTheme="majorHAnsi" w:hAnsiTheme="majorHAnsi"/>
          <w:b w:val="0"/>
          <w:sz w:val="24"/>
          <w:szCs w:val="24"/>
        </w:rPr>
      </w:pPr>
      <w:r w:rsidRPr="00D85238">
        <w:rPr>
          <w:rStyle w:val="Strong"/>
          <w:rFonts w:asciiTheme="majorHAnsi" w:hAnsiTheme="majorHAnsi"/>
          <w:sz w:val="24"/>
          <w:szCs w:val="24"/>
        </w:rPr>
        <w:t>8)</w:t>
      </w:r>
      <w:r>
        <w:rPr>
          <w:rStyle w:val="Strong"/>
          <w:rFonts w:asciiTheme="majorHAnsi" w:hAnsiTheme="majorHAnsi"/>
          <w:b w:val="0"/>
          <w:sz w:val="24"/>
          <w:szCs w:val="24"/>
        </w:rPr>
        <w:t xml:space="preserve"> </w:t>
      </w:r>
      <w:r w:rsidR="00DC650A">
        <w:rPr>
          <w:rStyle w:val="Strong"/>
          <w:rFonts w:asciiTheme="majorHAnsi" w:hAnsiTheme="majorHAnsi"/>
          <w:b w:val="0"/>
          <w:sz w:val="24"/>
          <w:szCs w:val="24"/>
        </w:rPr>
        <w:t xml:space="preserve">Updates to the FS 502 B reference cards were completed to be consistent with the student handbook edits. Edits were mainly for clarifications, to remove redundancies and to create consistencies across the WDTAC modules. </w:t>
      </w:r>
      <w:r w:rsidR="00A1690C">
        <w:rPr>
          <w:rStyle w:val="Strong"/>
          <w:rFonts w:asciiTheme="majorHAnsi" w:hAnsiTheme="majorHAnsi"/>
          <w:b w:val="0"/>
          <w:sz w:val="24"/>
          <w:szCs w:val="24"/>
        </w:rPr>
        <w:t xml:space="preserve"> The sap rot threshold for</w:t>
      </w:r>
      <w:r>
        <w:rPr>
          <w:rStyle w:val="Strong"/>
          <w:rFonts w:asciiTheme="majorHAnsi" w:hAnsiTheme="majorHAnsi"/>
          <w:b w:val="0"/>
          <w:sz w:val="24"/>
          <w:szCs w:val="24"/>
        </w:rPr>
        <w:t xml:space="preserve"> Douglas fir </w:t>
      </w:r>
      <w:r w:rsidR="00D85238">
        <w:rPr>
          <w:rStyle w:val="Strong"/>
          <w:rFonts w:asciiTheme="majorHAnsi" w:hAnsiTheme="majorHAnsi"/>
          <w:b w:val="0"/>
          <w:sz w:val="24"/>
          <w:szCs w:val="24"/>
        </w:rPr>
        <w:t>at LOD</w:t>
      </w:r>
      <w:r>
        <w:rPr>
          <w:rStyle w:val="Strong"/>
          <w:rFonts w:asciiTheme="majorHAnsi" w:hAnsiTheme="majorHAnsi"/>
          <w:b w:val="0"/>
          <w:sz w:val="24"/>
          <w:szCs w:val="24"/>
        </w:rPr>
        <w:t xml:space="preserve"> 2/3 was corrected.</w:t>
      </w:r>
    </w:p>
    <w:p w:rsidR="00D8006D" w:rsidRDefault="007B4723">
      <w:r>
        <w:t xml:space="preserve">     </w:t>
      </w:r>
      <w:r w:rsidR="00136D19">
        <w:t xml:space="preserve">      </w:t>
      </w:r>
      <w:r>
        <w:t xml:space="preserve">                     </w:t>
      </w:r>
    </w:p>
    <w:sectPr w:rsidR="00D8006D" w:rsidSect="00D8006D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690C" w:rsidRDefault="00A1690C" w:rsidP="007B4723">
      <w:pPr>
        <w:spacing w:after="0" w:line="240" w:lineRule="auto"/>
      </w:pPr>
      <w:r>
        <w:separator/>
      </w:r>
    </w:p>
  </w:endnote>
  <w:endnote w:type="continuationSeparator" w:id="1">
    <w:p w:rsidR="00A1690C" w:rsidRDefault="00A1690C" w:rsidP="007B4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690C" w:rsidRDefault="00A1690C" w:rsidP="007B4723">
      <w:pPr>
        <w:spacing w:after="0" w:line="240" w:lineRule="auto"/>
      </w:pPr>
      <w:r>
        <w:separator/>
      </w:r>
    </w:p>
  </w:footnote>
  <w:footnote w:type="continuationSeparator" w:id="1">
    <w:p w:rsidR="00A1690C" w:rsidRDefault="00A1690C" w:rsidP="007B4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90C" w:rsidRDefault="00A1690C" w:rsidP="00645A7C">
    <w:pPr>
      <w:pStyle w:val="Header"/>
      <w:rPr>
        <w:noProof/>
        <w:lang w:eastAsia="en-CA"/>
      </w:rPr>
    </w:pPr>
    <w:r>
      <w:t xml:space="preserve">                 </w:t>
    </w:r>
    <w:r>
      <w:rPr>
        <w:noProof/>
        <w:lang w:eastAsia="en-CA"/>
      </w:rPr>
      <w:drawing>
        <wp:inline distT="0" distB="0" distL="0" distR="0">
          <wp:extent cx="464344" cy="571500"/>
          <wp:effectExtent l="19050" t="0" r="0" b="0"/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44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</w:t>
    </w:r>
    <w:r>
      <w:rPr>
        <w:noProof/>
        <w:lang w:eastAsia="en-CA"/>
      </w:rPr>
      <w:drawing>
        <wp:inline distT="0" distB="0" distL="0" distR="0">
          <wp:extent cx="666750" cy="607786"/>
          <wp:effectExtent l="19050" t="0" r="0" b="0"/>
          <wp:docPr id="9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077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n-CA"/>
      </w:rPr>
      <w:t xml:space="preserve">                                                 </w:t>
    </w:r>
    <w:r>
      <w:rPr>
        <w:noProof/>
        <w:lang w:eastAsia="en-CA"/>
      </w:rPr>
      <w:drawing>
        <wp:inline distT="0" distB="0" distL="0" distR="0">
          <wp:extent cx="1076325" cy="341058"/>
          <wp:effectExtent l="19050" t="0" r="9525" b="0"/>
          <wp:docPr id="11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410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n-CA"/>
      </w:rPr>
      <w:t xml:space="preserve">    </w:t>
    </w:r>
  </w:p>
  <w:p w:rsidR="00A1690C" w:rsidRDefault="00A1690C" w:rsidP="00645A7C">
    <w:pPr>
      <w:pStyle w:val="Header"/>
      <w:rPr>
        <w:noProof/>
        <w:lang w:eastAsia="en-CA"/>
      </w:rPr>
    </w:pPr>
  </w:p>
  <w:p w:rsidR="00A1690C" w:rsidRDefault="00A1690C" w:rsidP="00645A7C">
    <w:pPr>
      <w:pStyle w:val="Header"/>
      <w:jc w:val="center"/>
      <w:rPr>
        <w:noProof/>
        <w:sz w:val="40"/>
        <w:szCs w:val="40"/>
        <w:lang w:eastAsia="en-CA"/>
      </w:rPr>
    </w:pPr>
    <w:r w:rsidRPr="00645A7C">
      <w:rPr>
        <w:noProof/>
        <w:sz w:val="40"/>
        <w:szCs w:val="40"/>
        <w:lang w:eastAsia="en-CA"/>
      </w:rPr>
      <w:t>Wildlife Tree Committee of British Columbia</w:t>
    </w:r>
  </w:p>
  <w:p w:rsidR="00A1690C" w:rsidRPr="00645A7C" w:rsidRDefault="00A1690C" w:rsidP="00645A7C">
    <w:pPr>
      <w:pStyle w:val="Header"/>
      <w:rPr>
        <w:sz w:val="28"/>
        <w:szCs w:val="28"/>
      </w:rPr>
    </w:pPr>
    <w:r w:rsidRPr="00645A7C">
      <w:rPr>
        <w:noProof/>
        <w:sz w:val="28"/>
        <w:szCs w:val="28"/>
        <w:lang w:eastAsia="en-CA"/>
      </w:rPr>
      <w:t>______________________________________________</w:t>
    </w:r>
    <w:r>
      <w:rPr>
        <w:noProof/>
        <w:sz w:val="28"/>
        <w:szCs w:val="28"/>
        <w:lang w:eastAsia="en-CA"/>
      </w:rPr>
      <w:t>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803C8"/>
    <w:multiLevelType w:val="hybridMultilevel"/>
    <w:tmpl w:val="6FC201A6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87C16"/>
    <w:multiLevelType w:val="hybridMultilevel"/>
    <w:tmpl w:val="C47C78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370146"/>
    <w:multiLevelType w:val="hybridMultilevel"/>
    <w:tmpl w:val="27B840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D85C5D"/>
    <w:multiLevelType w:val="hybridMultilevel"/>
    <w:tmpl w:val="ADD69B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185B8A"/>
    <w:multiLevelType w:val="hybridMultilevel"/>
    <w:tmpl w:val="EFB45A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16297A"/>
    <w:multiLevelType w:val="hybridMultilevel"/>
    <w:tmpl w:val="C89EFB48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195302"/>
    <w:multiLevelType w:val="hybridMultilevel"/>
    <w:tmpl w:val="A9D00C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A115D6"/>
    <w:multiLevelType w:val="hybridMultilevel"/>
    <w:tmpl w:val="D3DACF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3814F8"/>
    <w:multiLevelType w:val="hybridMultilevel"/>
    <w:tmpl w:val="C71C0B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7B4723"/>
    <w:rsid w:val="00136D19"/>
    <w:rsid w:val="001905E8"/>
    <w:rsid w:val="00340896"/>
    <w:rsid w:val="00645A7C"/>
    <w:rsid w:val="00736521"/>
    <w:rsid w:val="00746155"/>
    <w:rsid w:val="007B4723"/>
    <w:rsid w:val="007F3796"/>
    <w:rsid w:val="0086367E"/>
    <w:rsid w:val="00A1690C"/>
    <w:rsid w:val="00D8006D"/>
    <w:rsid w:val="00D85238"/>
    <w:rsid w:val="00DC650A"/>
    <w:rsid w:val="00EC45CF"/>
    <w:rsid w:val="00FB6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06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6D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4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7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B4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723"/>
  </w:style>
  <w:style w:type="paragraph" w:styleId="Footer">
    <w:name w:val="footer"/>
    <w:basedOn w:val="Normal"/>
    <w:link w:val="FooterChar"/>
    <w:uiPriority w:val="99"/>
    <w:semiHidden/>
    <w:unhideWhenUsed/>
    <w:rsid w:val="007B4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4723"/>
  </w:style>
  <w:style w:type="character" w:styleId="Strong">
    <w:name w:val="Strong"/>
    <w:basedOn w:val="DefaultParagraphFont"/>
    <w:uiPriority w:val="22"/>
    <w:qFormat/>
    <w:rsid w:val="00645A7C"/>
    <w:rPr>
      <w:b/>
      <w:bCs/>
    </w:rPr>
  </w:style>
  <w:style w:type="paragraph" w:styleId="NoSpacing">
    <w:name w:val="No Spacing"/>
    <w:uiPriority w:val="1"/>
    <w:qFormat/>
    <w:rsid w:val="00645A7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6D1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36D1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36D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.gov.bc.ca/hfp/values/wildlife/WLT/Training/index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ECC0F-55C6-4F90-9594-18725DDB4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jpmcdonn</dc:creator>
  <cp:lastModifiedBy>jpmcdonn</cp:lastModifiedBy>
  <cp:revision>3</cp:revision>
  <cp:lastPrinted>2009-04-20T20:20:00Z</cp:lastPrinted>
  <dcterms:created xsi:type="dcterms:W3CDTF">2009-04-20T17:50:00Z</dcterms:created>
  <dcterms:modified xsi:type="dcterms:W3CDTF">2009-04-21T16:58:00Z</dcterms:modified>
</cp:coreProperties>
</file>